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5ECAA2C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6299">
        <w:rPr>
          <w:rFonts w:ascii="Arial" w:hAnsi="Arial" w:cs="Arial"/>
          <w:sz w:val="16"/>
          <w:szCs w:val="16"/>
        </w:rPr>
        <w:t>1</w:t>
      </w:r>
      <w:r w:rsidR="002F7A94">
        <w:rPr>
          <w:rFonts w:ascii="Arial" w:hAnsi="Arial" w:cs="Arial"/>
          <w:sz w:val="16"/>
          <w:szCs w:val="16"/>
        </w:rPr>
        <w:t>5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3DB61F3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</w:t>
      </w:r>
      <w:r w:rsidR="002F7A94">
        <w:rPr>
          <w:rFonts w:ascii="Arial" w:hAnsi="Arial" w:cs="Arial"/>
          <w:sz w:val="16"/>
          <w:szCs w:val="16"/>
        </w:rPr>
        <w:t>5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F866B00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</w:t>
      </w:r>
      <w:r w:rsidR="000779DC" w:rsidRPr="000779DC">
        <w:rPr>
          <w:rFonts w:ascii="Arial" w:hAnsi="Arial" w:cs="Arial"/>
          <w:sz w:val="16"/>
          <w:szCs w:val="16"/>
          <w:vertAlign w:val="superscript"/>
        </w:rPr>
        <w:t>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EFF5F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9F091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9F091B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0811D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FC7BE3B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 profiel: </w:t>
      </w:r>
      <w:r w:rsidR="0060046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-profiel </w:t>
      </w:r>
      <w:r w:rsidR="0060046D">
        <w:rPr>
          <w:rFonts w:ascii="Arial" w:hAnsi="Arial" w:cs="Arial"/>
          <w:sz w:val="16"/>
          <w:szCs w:val="16"/>
        </w:rPr>
        <w:t>1420</w:t>
      </w:r>
      <w:r>
        <w:rPr>
          <w:rFonts w:ascii="Arial" w:hAnsi="Arial" w:cs="Arial"/>
          <w:sz w:val="16"/>
          <w:szCs w:val="16"/>
        </w:rPr>
        <w:t>, afmeting (mm): 2</w:t>
      </w:r>
      <w:r w:rsidR="00BA7403">
        <w:rPr>
          <w:rFonts w:ascii="Arial" w:hAnsi="Arial" w:cs="Arial"/>
          <w:sz w:val="16"/>
          <w:szCs w:val="16"/>
        </w:rPr>
        <w:t>4x24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. 1200 mm </w:t>
      </w:r>
    </w:p>
    <w:p w14:paraId="10D34DC7" w14:textId="3CFD9029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779DC"/>
    <w:rsid w:val="000811DE"/>
    <w:rsid w:val="000D6144"/>
    <w:rsid w:val="00133F9C"/>
    <w:rsid w:val="00193101"/>
    <w:rsid w:val="001C099C"/>
    <w:rsid w:val="001E586F"/>
    <w:rsid w:val="00204ACB"/>
    <w:rsid w:val="00231048"/>
    <w:rsid w:val="00241334"/>
    <w:rsid w:val="00244122"/>
    <w:rsid w:val="002F73C4"/>
    <w:rsid w:val="002F7A94"/>
    <w:rsid w:val="00317A59"/>
    <w:rsid w:val="00392E2B"/>
    <w:rsid w:val="00393265"/>
    <w:rsid w:val="003D0BFE"/>
    <w:rsid w:val="003D7E79"/>
    <w:rsid w:val="003E7B18"/>
    <w:rsid w:val="0041736A"/>
    <w:rsid w:val="00522903"/>
    <w:rsid w:val="005A5B7F"/>
    <w:rsid w:val="005A6380"/>
    <w:rsid w:val="005E6F16"/>
    <w:rsid w:val="0060046D"/>
    <w:rsid w:val="0066285A"/>
    <w:rsid w:val="00677238"/>
    <w:rsid w:val="007440AD"/>
    <w:rsid w:val="00746299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9F091B"/>
    <w:rsid w:val="00AF7D00"/>
    <w:rsid w:val="00B23AD3"/>
    <w:rsid w:val="00B943B1"/>
    <w:rsid w:val="00BA7403"/>
    <w:rsid w:val="00BB5AE4"/>
    <w:rsid w:val="00BF6782"/>
    <w:rsid w:val="00C90A6D"/>
    <w:rsid w:val="00CD12C8"/>
    <w:rsid w:val="00D44494"/>
    <w:rsid w:val="00DA7BD6"/>
    <w:rsid w:val="00E86048"/>
    <w:rsid w:val="00EA2B05"/>
    <w:rsid w:val="00ED5D5F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F0DAE-4B00-4F5C-9F19-EDF08A548A61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2024-01-11T15:28:00Z</dcterms:created>
  <dcterms:modified xsi:type="dcterms:W3CDTF">2024-01-11T15:32:00Z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